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6D" w:rsidRDefault="0051356D">
      <w:pPr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026" w:type="dxa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2966"/>
        <w:gridCol w:w="6060"/>
      </w:tblGrid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Nazwa działania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Mentoring z pomocy społecznej, integracji oraz wsparcie prawne w unijnym projekcie ROPS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Сafe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Ukraina"</w:t>
            </w: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Cel działania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Pomoc osobom z doświadczeniem uchodźstwa w adaptacji i integracji poprzez szczegółową diagnostykę (indywidualne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spotkania i rozmowy), doradztwo w sprawach codziennych (na przykład współpraca z instytucjami państwowymi, wypełnianie dokumentów, rozwiązywanie problemów rodzinnych), a także wsparcie w kwestiach legalizacji pobytu i pracy.</w:t>
            </w: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Kontekst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 realizowany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 w odpowiedzi na zwiększoną liczbę osób z doświadczeniem uchodźstwa, które po przyjeździe do Polski potrzebują wsparcia w adaptacji i integracji. W związku z tym pojawiają się liczne wyzwania związane z legalizacją pobytu, znalezieniem pracy oraz zrozum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ieniem funkcjonowania instytucji państwowych. Szczególnie cennym aspektem jest fakt, że mentorami są osoby z doświadczeniem uchodźstwa, które same przeszły i nadal przechodzą etapy adaptacji. To buduje zaufanie i tworzy inny poziom komunikacji, wolny od 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rzedzeń i dominacji.</w:t>
            </w: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Czas: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 rozpoczął się w lipcu 2024 roku i będzie trwał co najmniej do czerwca 2025 roku. Warto zaznaczyć, że nasza fundacja już od 2022 roku praktykuje podobny mentoring poza projektem, jednak ograniczenia finansowe oraz brak 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starczającego doświadczenia adaptacyjnego nie pozwalały na pełne wdrożenie działań wcześniej.</w:t>
            </w: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Kluczowe osoby i ich obowiązki:</w:t>
            </w: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51356D">
            <w:pPr>
              <w:spacing w:before="240" w:after="240" w:line="240" w:lineRule="auto"/>
              <w:rPr>
                <w:rFonts w:ascii="Cambria" w:eastAsia="Cambria" w:hAnsi="Cambria" w:cs="Cambria"/>
              </w:rPr>
            </w:pPr>
          </w:p>
          <w:p w:rsidR="0051356D" w:rsidRDefault="00116D7A" w:rsidP="00116D7A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Federacja FOSA</w:t>
            </w:r>
            <w:r>
              <w:rPr>
                <w:rFonts w:ascii="Cambria" w:eastAsia="Cambria" w:hAnsi="Cambria" w:cs="Cambria"/>
              </w:rPr>
              <w:t>: Odpowiedzialna za koordynację projektu.</w:t>
            </w:r>
          </w:p>
          <w:p w:rsidR="0051356D" w:rsidRDefault="00116D7A" w:rsidP="00116D7A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Fundacja partnerska</w:t>
            </w:r>
            <w:r>
              <w:rPr>
                <w:rFonts w:ascii="Cambria" w:eastAsia="Cambria" w:hAnsi="Cambria" w:cs="Cambria"/>
              </w:rPr>
              <w:t xml:space="preserve">: Odpowiada za realizację działań </w:t>
            </w:r>
            <w:proofErr w:type="spellStart"/>
            <w:r>
              <w:rPr>
                <w:rFonts w:ascii="Cambria" w:eastAsia="Cambria" w:hAnsi="Cambria" w:cs="Cambria"/>
              </w:rPr>
              <w:t>mentoringowych</w:t>
            </w:r>
            <w:proofErr w:type="spellEnd"/>
            <w:r>
              <w:rPr>
                <w:rFonts w:ascii="Cambria" w:eastAsia="Cambria" w:hAnsi="Cambria" w:cs="Cambria"/>
              </w:rPr>
              <w:t xml:space="preserve"> w </w:t>
            </w:r>
            <w:r>
              <w:rPr>
                <w:rFonts w:ascii="Cambria" w:eastAsia="Cambria" w:hAnsi="Cambria" w:cs="Cambria"/>
              </w:rPr>
              <w:t>ramach projektu.</w:t>
            </w:r>
          </w:p>
          <w:p w:rsidR="0051356D" w:rsidRDefault="00116D7A" w:rsidP="00116D7A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Prezes fundacji</w:t>
            </w:r>
            <w:r>
              <w:rPr>
                <w:rFonts w:ascii="Cambria" w:eastAsia="Cambria" w:hAnsi="Cambria" w:cs="Cambria"/>
              </w:rPr>
              <w:t>: Udziela porad obyczajowych, wspiera współpracę z różnymi instytucjami oraz prowadzi konsultacje prawne.</w:t>
            </w:r>
          </w:p>
          <w:p w:rsidR="0051356D" w:rsidRDefault="00116D7A" w:rsidP="00116D7A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Wiceprezes fundacji</w:t>
            </w:r>
            <w:r>
              <w:rPr>
                <w:rFonts w:ascii="Cambria" w:eastAsia="Cambria" w:hAnsi="Cambria" w:cs="Cambria"/>
              </w:rPr>
              <w:t>: Udziela porad w zakresie legalizacji życia i pracy, a także pomaga w poszukiwaniu zatrudnienia.</w:t>
            </w:r>
          </w:p>
          <w:p w:rsidR="0051356D" w:rsidRDefault="00116D7A" w:rsidP="00116D7A">
            <w:pPr>
              <w:numPr>
                <w:ilvl w:val="0"/>
                <w:numId w:val="5"/>
              </w:numPr>
              <w:spacing w:after="24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M</w:t>
            </w:r>
            <w:r>
              <w:rPr>
                <w:rFonts w:ascii="Cambria" w:eastAsia="Cambria" w:hAnsi="Cambria" w:cs="Cambria"/>
                <w:b/>
              </w:rPr>
              <w:t>entorzy</w:t>
            </w:r>
            <w:r>
              <w:rPr>
                <w:rFonts w:ascii="Cambria" w:eastAsia="Cambria" w:hAnsi="Cambria" w:cs="Cambria"/>
              </w:rPr>
              <w:t>: Prowadzą indywidualne i grupowe spotkania w biurze fundacji.</w:t>
            </w:r>
          </w:p>
          <w:p w:rsidR="0051356D" w:rsidRDefault="0051356D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lastRenderedPageBreak/>
              <w:t>Odbiorcy: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Osoby z doświadczeniem uchodźstwa z Ukrainy, które potrzebują wsparcia w adaptacji i integracji, a także pomocy prawnej i doradztwa w zakresie legalizacji pobytu oraz znalezi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enia pracy.</w:t>
            </w: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Potrzebujemy: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Zasobów finansowych na wynagrodzenie mentorów i pokrycie kosztów organizacyjnych.</w:t>
            </w:r>
          </w:p>
          <w:p w:rsidR="0051356D" w:rsidRDefault="00116D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Środków na opłacenie pracy informatyka w celu przygotowania informatora oraz poradnika dla nowo przybyłych uchodźców.</w:t>
            </w:r>
          </w:p>
          <w:p w:rsidR="0051356D" w:rsidRDefault="00116D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Pomieszczeń do organizacji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spotkań indywidualnych i grupowych.</w:t>
            </w:r>
          </w:p>
          <w:p w:rsidR="0051356D" w:rsidRDefault="00116D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Środków technicznych, takich jak komputery, drukarki, oraz dostępu do Internetu.</w:t>
            </w:r>
          </w:p>
          <w:p w:rsidR="0051356D" w:rsidRDefault="00116D7A">
            <w:pPr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Wsparcia w postaci wolontariuszy i ekspertów ds. integracji oraz prawa.</w:t>
            </w: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Narzędzia i materiały: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51356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56D" w:rsidRDefault="00116D7A" w:rsidP="00116D7A">
            <w:pPr>
              <w:numPr>
                <w:ilvl w:val="0"/>
                <w:numId w:val="6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Komputery, drukarki oraz dostęp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Internetu do organizacji i koordynacji działań.</w:t>
            </w:r>
          </w:p>
          <w:p w:rsidR="0051356D" w:rsidRDefault="00116D7A" w:rsidP="00116D7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szkoleniowe dla uczestników.</w:t>
            </w:r>
          </w:p>
          <w:p w:rsidR="0051356D" w:rsidRDefault="00116D7A" w:rsidP="00116D7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Pomieszczenia biurowe do spotkań indywidualnych i grupowych.</w:t>
            </w:r>
          </w:p>
          <w:p w:rsidR="0051356D" w:rsidRDefault="00116D7A" w:rsidP="00116D7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Kontakty i osobiste doświadczenie mentorów.</w:t>
            </w:r>
          </w:p>
          <w:p w:rsidR="0051356D" w:rsidRDefault="00116D7A" w:rsidP="00116D7A">
            <w:pPr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Telefony i środki komunikacji elektronicznej do kontaktu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beneficjentami i instytucjami.</w:t>
            </w: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56D">
        <w:trPr>
          <w:trHeight w:val="420"/>
        </w:trPr>
        <w:tc>
          <w:tcPr>
            <w:tcW w:w="2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Przebieg działania</w:t>
            </w: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Etap 1</w:t>
            </w:r>
          </w:p>
          <w:p w:rsidR="0051356D" w:rsidRDefault="00116D7A" w:rsidP="00116D7A">
            <w:pPr>
              <w:numPr>
                <w:ilvl w:val="0"/>
                <w:numId w:val="3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Diagnoza potrzeb beneficjentów poprzez indywidualne spotkania i rozmowy z mentorami.</w:t>
            </w:r>
          </w:p>
          <w:p w:rsidR="0051356D" w:rsidRDefault="00116D7A" w:rsidP="00116D7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Przekazanie danych koordynatorowi, znalezienie odpowiednich specjalistów i środków do wsparcia.</w:t>
            </w:r>
          </w:p>
          <w:p w:rsidR="0051356D" w:rsidRDefault="00116D7A" w:rsidP="00116D7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Opłacenie usług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wykonawców zadań (psychologów, specjalistów, trenerów, nauczycieli, pośredników).</w:t>
            </w:r>
          </w:p>
          <w:p w:rsidR="0051356D" w:rsidRDefault="00116D7A" w:rsidP="00116D7A">
            <w:pPr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Opracowanie planu działań dostosowanego do indywidualnych potrzeb każdej osoby.</w:t>
            </w:r>
          </w:p>
          <w:p w:rsidR="0051356D" w:rsidRDefault="0051356D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56D">
        <w:trPr>
          <w:trHeight w:val="420"/>
        </w:trPr>
        <w:tc>
          <w:tcPr>
            <w:tcW w:w="2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51356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Etap  2 </w:t>
            </w:r>
          </w:p>
          <w:p w:rsidR="0051356D" w:rsidRDefault="0051356D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51356D" w:rsidRDefault="00116D7A" w:rsidP="00116D7A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Organizacja regularnych spotkań grupowych i indywidualnych, podczas których </w:t>
            </w:r>
            <w:r>
              <w:rPr>
                <w:rFonts w:ascii="Cambria" w:eastAsia="Cambria" w:hAnsi="Cambria" w:cs="Cambria"/>
              </w:rPr>
              <w:t>udzielana jest pomoc w sprawach codziennych, prawnych oraz dotyczących legalizacji pobytu i pracy.</w:t>
            </w:r>
          </w:p>
          <w:p w:rsidR="0051356D" w:rsidRDefault="00116D7A" w:rsidP="00116D7A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Kontynuacja wsparcia, bieżący nadzór nad jakością wsparcia, towarzyszenie beneficjentom, a także prośba o regularny feedback od nich.</w:t>
            </w:r>
          </w:p>
          <w:p w:rsidR="0051356D" w:rsidRDefault="0051356D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56D">
        <w:trPr>
          <w:trHeight w:val="420"/>
        </w:trPr>
        <w:tc>
          <w:tcPr>
            <w:tcW w:w="2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51356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Etap 3</w:t>
            </w:r>
          </w:p>
          <w:p w:rsidR="0051356D" w:rsidRDefault="0051356D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51356D" w:rsidRDefault="00116D7A" w:rsidP="00116D7A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Monitorowanie postępów i dostosowywanie strategii wsparcia.</w:t>
            </w:r>
          </w:p>
          <w:p w:rsidR="0051356D" w:rsidRDefault="00116D7A" w:rsidP="00116D7A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Podsumowanie wyników projektu oraz przygotowanie raportu końcowego.</w:t>
            </w:r>
          </w:p>
          <w:p w:rsidR="0051356D" w:rsidRDefault="0051356D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51356D" w:rsidRDefault="0051356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56D">
        <w:trPr>
          <w:trHeight w:val="2735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Ryzyka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-Niewystarczające finansowanie na pokrycie kosztów dodatkowych specjalistów (psychologów, nauczycieli, trenerów).</w:t>
            </w:r>
          </w:p>
          <w:p w:rsidR="0051356D" w:rsidRDefault="00116D7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-Czy</w:t>
            </w:r>
            <w:r>
              <w:rPr>
                <w:rFonts w:ascii="Cambria" w:eastAsia="Cambria" w:hAnsi="Cambria" w:cs="Cambria"/>
              </w:rPr>
              <w:t>nnik ludzki: problemy psychologiczne oraz trudności życiowe beneficjentów, które mogą wpłynąć na ich zaangażowanie w projekt.</w:t>
            </w:r>
          </w:p>
          <w:p w:rsidR="0051356D" w:rsidRDefault="00116D7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-Trudności z transportem oraz inne wykluczenia i ograniczenia uczestników, takie jak brak możliwości zorganizowania opieki nad dzi</w:t>
            </w:r>
            <w:r>
              <w:rPr>
                <w:rFonts w:ascii="Cambria" w:eastAsia="Cambria" w:hAnsi="Cambria" w:cs="Cambria"/>
              </w:rPr>
              <w:t>ećmi i osobami zależnymi.</w:t>
            </w:r>
          </w:p>
          <w:p w:rsidR="0051356D" w:rsidRDefault="00116D7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-Opóźnienia w realizacji zadań z powodu zewnętrznych czynników (np. biurokracja, trudności formalne).</w:t>
            </w:r>
          </w:p>
          <w:p w:rsidR="0051356D" w:rsidRDefault="00116D7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-Zmniejszone zaangażowanie beneficjentów w działania, brak regularnego feedbacku.</w:t>
            </w:r>
          </w:p>
          <w:p w:rsidR="0051356D" w:rsidRDefault="0051356D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51356D">
        <w:trPr>
          <w:trHeight w:val="420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Wskazówki / złote rady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-Utrzymywanie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regularnej komunikacji z beneficjentami, aby lepiej zrozumieć ich potrzeby i problemy na bieżąco.</w:t>
            </w: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-Współpraca z lokalnymi instytucjami i organizacjami, które mogą wspierać integrację i udzielać pomocy specjalistycznej.</w:t>
            </w:r>
          </w:p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-Elastyczność w dostosowywaniu form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wsparcia do zmieniających się potrzeb uczestników projektu.</w:t>
            </w:r>
          </w:p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-Angażowanie beneficjentów w procesy decyzyjne, aby budować zaufanie i zwiększać ich zaangażowanie.</w:t>
            </w:r>
          </w:p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-Stałe monitorowanie jakości wsparcia oraz zbieranie informacji zwrotnej od beneficjentów w celu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wprowadzenia niezbędnych ulepszeń.</w:t>
            </w: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++++</w:t>
            </w:r>
          </w:p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Mentorami powinny być osoby zaufane, z podobnym doświadczeniem, co buduje zaufanie i umożliwia lepsze zrozumienie problemów beneficjentów.</w:t>
            </w:r>
          </w:p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Uwzględnienie kulturowych i językowych różnic – wybór języka komunikacji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powinien być dostosowany do potrzeb beneficjentów. Dla niektórych akceptowalny i bardziej zrozumiały może być język rosyjski, dla innych ważne jest, aby komunikacja odbywała się wyłącznie w języku ukraińskim.</w:t>
            </w:r>
          </w:p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Zachowanie etycznych standardów w komunikacji.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Nawet proste pytania, takie jak miejsce urodzenia, mogą wywołać stres lub rozpacz. Takich pytań należy unikać lub zadawać je w odpowiedniej, oficjalnej formie.</w:t>
            </w:r>
          </w:p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Unikanie nadmiernego współczucia. Nadmierne współczucie może podkreślać beznadziejną sytuację 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oby, co nie jest pomocne. Zamiast tego, lepiej wyrazić wiarę w jej siłę i zdolność do przezwyciężenia trudności, czasem przytaczając neutralne przykłady. Ważne jest, aby nie deprecjonować cierpienia – zamiast mówić "rozumiem cię", jeśli nie przeżyło się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kładnie tego samego, lepiej powiedzieć: "Jestem z ciebie dumny, jesteś bardzo silny!"</w:t>
            </w:r>
          </w:p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Unikanie pytań o przyszłe plany, miejsce zamieszkania, dzieci, rodziców, męża czy żonę. Nie pytaj, czy ktoś bliski beneficjenta walczy w wojnie, ani o wcześniejsze doświa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dczenia wojenne.</w:t>
            </w:r>
          </w:p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Powstrzymanie się od życzeń szybkiego powrotu na ojczyznę, gdyż niektórzy beneficjenci mogą świadomie postanowić nie wracać nigdy. Takie życzenia mogą być źle odebrane i nie wywołać pozytywnych emocji.</w:t>
            </w: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lastRenderedPageBreak/>
              <w:t>Po więcej informacji zgłoś się do: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Tetiana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Revenko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726306903</w:t>
            </w:r>
          </w:p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revenkotatiana091518@gmail.com</w:t>
            </w:r>
          </w:p>
        </w:tc>
      </w:tr>
    </w:tbl>
    <w:p w:rsidR="0051356D" w:rsidRDefault="0051356D"/>
    <w:p w:rsidR="0051356D" w:rsidRDefault="0051356D"/>
    <w:p w:rsidR="0051356D" w:rsidRDefault="0051356D"/>
    <w:p w:rsidR="00D74C43" w:rsidRDefault="00D74C43"/>
    <w:p w:rsidR="00D74C43" w:rsidRDefault="00D74C43"/>
    <w:p w:rsidR="00D74C43" w:rsidRDefault="00D74C43"/>
    <w:p w:rsidR="00D74C43" w:rsidRDefault="00D74C43"/>
    <w:p w:rsidR="0051356D" w:rsidRDefault="0051356D"/>
    <w:p w:rsidR="0051356D" w:rsidRDefault="0051356D"/>
    <w:tbl>
      <w:tblPr>
        <w:tblW w:w="9026" w:type="dxa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2966"/>
        <w:gridCol w:w="6060"/>
      </w:tblGrid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lastRenderedPageBreak/>
              <w:t>Nazwa działania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Kulturalne inicjatywy i wydarzenia dla uchodźców</w:t>
            </w: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Cel działania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Stworzenie wydarzenia lub przestrzeni dla uchodźców, w której mogą aktywnie uczestniczyć w działaniach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kulturalnych, podkreślać i przypominać sobie o swojej tożsamości narodowej. Działania te mają na celu wsparcie emocjonalne, integrację i umożliwienie uchodźcom rozwijania swoich tradycji i dzielenia się nimi z innymi. Ważnym elementem jest utrzymanie moral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e, aby uchodźcy mogli nadal wierzyć w zwycięstwo swojej ojczyzny, zachować nadzieję na lepszą przyszłość i uniknąć całkowitej asymilacji. Zmieniamy się i integrujemy, ale jednocześnie mamy prawo i pozwolenie na pozostanie sobą.</w:t>
            </w: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Kontekst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obliczu wyzwań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przed jakimi stoją uchodźcy w nowym kraju, istotne jest wsparcie emocjonalne i kulturalne. Inicjatywy te pozwalają na pielęgnowanie tożsamości i tradycji, jednocześnie wspierając proces integracji z lokalną społecznością. Kultura, natura i sport to trzy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filary zdrowia psychicznego i regeneracji.</w:t>
            </w: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Czas: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Kulturalne inicjatywy dla dzieci są realizowane cyklicznie, stale, często poza projektem i na zasadach wolontariatu. Niemniej jednak, raz w roku mamy tradycję organizowania wielkiego święta dla wszystkich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czestników. Marzymy, aby takie święta odbywały się kilka razy w roku. Święta te dedykowane są patriotycznym wydarzeniom naszej Ojczyzny, co obecnie ma szczególne znaczenie. Rodziny są rozdzielone i nie mogą w pełni cieszyć się z takich świąt jak Nowy Rok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zy Wielkanoc, jednak uroczystości, takie jak Dzień Niepodległości i Dzień Obrońcy Ukrainy, jednoczą nas wszystkich.</w:t>
            </w: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Kluczowe osoby i ich obowiązki:</w:t>
            </w: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pStyle w:val="Tekstpodstawowy"/>
              <w:spacing w:after="0" w:line="240" w:lineRule="auto"/>
              <w:ind w:left="720"/>
            </w:pPr>
            <w:r>
              <w:rPr>
                <w:rStyle w:val="a0"/>
                <w:rFonts w:ascii="Cambria" w:eastAsia="Cambria" w:hAnsi="Cambria" w:cs="Cambria"/>
                <w:color w:val="000000"/>
              </w:rPr>
              <w:t>Koordynatorzy</w:t>
            </w:r>
            <w:r>
              <w:rPr>
                <w:rFonts w:ascii="Cambria" w:eastAsia="Cambria" w:hAnsi="Cambria" w:cs="Cambria"/>
                <w:color w:val="000000"/>
              </w:rPr>
              <w:t>: Dwie organizacje partnerskie są odpowiedzialne za koordynację działań, harmonogram, kontakt</w:t>
            </w:r>
            <w:r>
              <w:rPr>
                <w:rFonts w:ascii="Cambria" w:eastAsia="Cambria" w:hAnsi="Cambria" w:cs="Cambria"/>
                <w:color w:val="000000"/>
              </w:rPr>
              <w:t xml:space="preserve"> z uczestnikami oraz współpracę z partnerami.</w:t>
            </w:r>
          </w:p>
          <w:p w:rsidR="0051356D" w:rsidRDefault="00116D7A">
            <w:pPr>
              <w:pStyle w:val="Tekstpodstawowy"/>
              <w:spacing w:after="0" w:line="240" w:lineRule="auto"/>
              <w:ind w:left="720"/>
            </w:pPr>
            <w:r>
              <w:rPr>
                <w:rStyle w:val="a0"/>
              </w:rPr>
              <w:t>Artyści</w:t>
            </w:r>
            <w:r>
              <w:t>: Angażują się w przygotowanie i prowadzenie działań kulturalnych, dzieląc się swoimi umiejętnościami i twórczością, aby wzbogacić doświadczenia uczestników.</w:t>
            </w:r>
          </w:p>
          <w:p w:rsidR="0051356D" w:rsidRDefault="00116D7A">
            <w:pPr>
              <w:pStyle w:val="Tekstpodstawowy"/>
              <w:spacing w:after="0" w:line="240" w:lineRule="auto"/>
              <w:ind w:left="720"/>
            </w:pPr>
            <w:r>
              <w:rPr>
                <w:rStyle w:val="a0"/>
              </w:rPr>
              <w:t>Wolontariusze</w:t>
            </w:r>
            <w:r>
              <w:t>: Wspierają organizację wydarzeń</w:t>
            </w:r>
            <w:r>
              <w:t>, pomagają w logistyce oraz prowadzeniu zajęć dla dzieci i młodzieży.</w:t>
            </w:r>
          </w:p>
          <w:p w:rsidR="0051356D" w:rsidRDefault="00116D7A">
            <w:pPr>
              <w:pStyle w:val="Tekstpodstawowy"/>
              <w:spacing w:after="0" w:line="240" w:lineRule="auto"/>
              <w:ind w:left="720"/>
            </w:pPr>
            <w:r>
              <w:rPr>
                <w:rStyle w:val="a0"/>
                <w:rFonts w:ascii="Cambria" w:eastAsia="Cambria" w:hAnsi="Cambria" w:cs="Cambria"/>
                <w:color w:val="000000"/>
              </w:rPr>
              <w:t>Patronat</w:t>
            </w:r>
            <w:r>
              <w:rPr>
                <w:rFonts w:ascii="Cambria" w:eastAsia="Cambria" w:hAnsi="Cambria" w:cs="Cambria"/>
                <w:color w:val="000000"/>
              </w:rPr>
              <w:t>: Organizacje lub instytucje, które udzielają wsparcia, na przykład poprzez udostępnianie sali bezpłatnie na wydarzenia.</w:t>
            </w: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Odbiorcy: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Uchodźcy z Ukrainy w każdym wieku. Inicjatywa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wspiera dialog międzykulturowy i międzypokoleniowy,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umożliwiając uczestnikom integrację oraz podtrzymywanie tożsamości kulturowej.</w:t>
            </w: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lastRenderedPageBreak/>
              <w:t>Potrzebujemy: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pStyle w:val="Tekstpodstawow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-Zasobów finansowych na wynagrodzenie artystów oraz pokrycie kosztów organizacyjnych wydarzeń.</w:t>
            </w:r>
          </w:p>
          <w:p w:rsidR="0051356D" w:rsidRDefault="00116D7A">
            <w:pPr>
              <w:pStyle w:val="Tekstpodstawow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-Wolontariuszy </w:t>
            </w:r>
            <w:r>
              <w:t>do pomocy w organizacji oraz prowadzeniu działań.</w:t>
            </w:r>
          </w:p>
          <w:p w:rsidR="0051356D" w:rsidRDefault="00116D7A">
            <w:pPr>
              <w:pStyle w:val="Tekstpodstawow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 Dostępu do sali na organizację wydarzeń kulturalnych.</w:t>
            </w:r>
          </w:p>
          <w:p w:rsidR="0051356D" w:rsidRDefault="00116D7A">
            <w:pPr>
              <w:pStyle w:val="Tekstpodstawow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 Materiałów artystycznych, sprzętu nagłaśniającego oraz narzędzi do realizacji wydarzeń.</w:t>
            </w:r>
          </w:p>
          <w:p w:rsidR="0051356D" w:rsidRDefault="00116D7A">
            <w:pPr>
              <w:pStyle w:val="Tekstpodstawow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 Wsparcia partnerów instytucjonalnych w formie patronatu or</w:t>
            </w:r>
            <w:r>
              <w:t>az promocji wydarzeń.</w:t>
            </w:r>
          </w:p>
          <w:p w:rsidR="0051356D" w:rsidRDefault="00116D7A">
            <w:pPr>
              <w:pStyle w:val="Tekstpodstawow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 Ścisłego partnerstwa między dwiema organizacjami, które wspólnie odpowiadają za koordynację, realizację i promocję inicjatyw.</w:t>
            </w: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Narzędzia i materiały: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7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Sprzęt nagłaśniający i multimedialny do prowadzenia wydarzeń kulturalnych.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7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Mat</w:t>
            </w:r>
            <w:r>
              <w:t>eriały plastyczne i artystyczne do warsztatów kreatywnych.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8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Sala i przestrzeń do organizacji wydarzeń oraz warsztatów.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9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Instrumenty muzyczne i inne rekwizyty potrzebne do prowadzenia zajęć artystycznych.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Zasoby online do promocji wydarzeń i komunikacji z </w:t>
            </w:r>
            <w:r>
              <w:t>uczestnikami.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11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Usługi związane z projektowaniem afiszy i plakatów, ich drukiem oraz promocją wydarzeń.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12"/>
              </w:numPr>
              <w:tabs>
                <w:tab w:val="clear" w:pos="720"/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Produkty i materiały do organizacji charytatywnego kiermaszu lub wystawy na temat ukraińskiej kultury, zachęcające do zbiórki funduszy na cele dobroczynne</w:t>
            </w:r>
            <w:r>
              <w:t>.</w:t>
            </w:r>
          </w:p>
        </w:tc>
      </w:tr>
      <w:tr w:rsidR="0051356D">
        <w:trPr>
          <w:trHeight w:val="420"/>
        </w:trPr>
        <w:tc>
          <w:tcPr>
            <w:tcW w:w="2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Przebieg działania</w:t>
            </w: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Etap 1 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13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Planowanie i przygotowanie wydarzeń: opracowanie programu, kontakt z artystami i wolontariuszami, przygotowanie materiałów oraz przestrzeni.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13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Projektowanie i druk afiszy oraz plakatów, przygotowanie kampanii promocyjnej </w:t>
            </w:r>
            <w:r>
              <w:t>wydarzeń.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14"/>
              </w:numPr>
              <w:tabs>
                <w:tab w:val="clear" w:pos="720"/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Zbieranie produktów i materiałów na charytatywny kiermasz lub wystawę.</w:t>
            </w: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56D">
        <w:trPr>
          <w:trHeight w:val="420"/>
        </w:trPr>
        <w:tc>
          <w:tcPr>
            <w:tcW w:w="2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51356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Etap 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56D" w:rsidRDefault="00116D7A" w:rsidP="00116D7A">
            <w:pPr>
              <w:pStyle w:val="Tekstpodstawowy"/>
              <w:numPr>
                <w:ilvl w:val="0"/>
                <w:numId w:val="15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Realizacja wydarzeń kulturalnych: warsztaty, koncerty, występy artystyczne, wydarzenia integracyjne.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15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Organizacja charytatywnego kiermaszu lub wystawy, promującej </w:t>
            </w:r>
            <w:r>
              <w:t>ukraińską kulturę i wspierającej cele dobroczynne.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16"/>
              </w:numPr>
              <w:tabs>
                <w:tab w:val="clear" w:pos="720"/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Bieżące monitorowanie jakości wydarzeń oraz zbieranie informacji zwrotnej od uczestników.</w:t>
            </w: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56D">
        <w:trPr>
          <w:trHeight w:val="420"/>
        </w:trPr>
        <w:tc>
          <w:tcPr>
            <w:tcW w:w="2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51356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Etap 3 </w:t>
            </w: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56D" w:rsidRDefault="00116D7A" w:rsidP="00116D7A">
            <w:pPr>
              <w:pStyle w:val="Tekstpodstawowy"/>
              <w:numPr>
                <w:ilvl w:val="0"/>
                <w:numId w:val="17"/>
              </w:numPr>
              <w:tabs>
                <w:tab w:val="clear" w:pos="720"/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Ocena wydarzeń: analiza opinii uczestników, ocena osiągniętych celów, raportowanie.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17"/>
              </w:numPr>
              <w:tabs>
                <w:tab w:val="clear" w:pos="720"/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Podsumowanie </w:t>
            </w:r>
            <w:r>
              <w:t>działań, wnioski na przyszłość oraz planowanie kolejnych inicjatyw.</w:t>
            </w:r>
          </w:p>
        </w:tc>
      </w:tr>
      <w:tr w:rsidR="0051356D">
        <w:trPr>
          <w:trHeight w:val="2735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Ryzyka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51356D">
            <w:pPr>
              <w:pStyle w:val="Tekstpodstawowy"/>
              <w:spacing w:after="0" w:line="240" w:lineRule="auto"/>
              <w:ind w:left="1080"/>
              <w:rPr>
                <w:rFonts w:ascii="Cambria" w:eastAsia="Cambria" w:hAnsi="Cambria" w:cs="Cambria"/>
                <w:color w:val="000000"/>
              </w:rPr>
            </w:pPr>
          </w:p>
          <w:p w:rsidR="0051356D" w:rsidRDefault="00116D7A" w:rsidP="00116D7A">
            <w:pPr>
              <w:pStyle w:val="Tekstpodstawowy"/>
              <w:numPr>
                <w:ilvl w:val="0"/>
                <w:numId w:val="18"/>
              </w:numPr>
              <w:tabs>
                <w:tab w:val="clear" w:pos="720"/>
                <w:tab w:val="left" w:pos="0"/>
              </w:tabs>
              <w:spacing w:after="0"/>
            </w:pPr>
            <w:r>
              <w:rPr>
                <w:rFonts w:ascii="Cambria" w:eastAsia="Cambria" w:hAnsi="Cambria" w:cs="Cambria"/>
                <w:color w:val="000000"/>
              </w:rPr>
              <w:t>Brak wystarczających środków finansowych na pokrycie kosztów organizacyjnych i honorariów dla artystów.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18"/>
              </w:numPr>
              <w:tabs>
                <w:tab w:val="clear" w:pos="720"/>
                <w:tab w:val="left" w:pos="0"/>
              </w:tabs>
              <w:spacing w:after="0"/>
            </w:pPr>
            <w:r>
              <w:t xml:space="preserve">Niewystarczająca liczba wolontariuszy do pomocy w organizacji i realizacji </w:t>
            </w:r>
            <w:r>
              <w:t>wydarzeń.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19"/>
              </w:numPr>
              <w:tabs>
                <w:tab w:val="clear" w:pos="720"/>
                <w:tab w:val="left" w:pos="0"/>
              </w:tabs>
              <w:spacing w:after="0"/>
            </w:pPr>
            <w:r>
              <w:t>Problemy z dostępnością przestrzeni do organizacji wydarzeń lub zmiana warunków wynajmu sali.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20"/>
              </w:numPr>
              <w:tabs>
                <w:tab w:val="clear" w:pos="720"/>
                <w:tab w:val="left" w:pos="0"/>
              </w:tabs>
              <w:spacing w:after="0"/>
            </w:pPr>
            <w:r>
              <w:t>Ograniczone zaangażowanie uczestników w działania kulturalne z powodu innych priorytetów życiowych lub trudności emocjonalnych.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21"/>
              </w:numPr>
              <w:tabs>
                <w:tab w:val="clear" w:pos="720"/>
                <w:tab w:val="left" w:pos="0"/>
              </w:tabs>
              <w:spacing w:after="0"/>
            </w:pPr>
            <w:r>
              <w:t>Problemy z promocją wyda</w:t>
            </w:r>
            <w:r>
              <w:t>rzeń i niska frekwencja z powodu niewystarczającego zasięgu kampanii informacyjnej.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22"/>
              </w:numPr>
              <w:tabs>
                <w:tab w:val="clear" w:pos="720"/>
                <w:tab w:val="left" w:pos="0"/>
              </w:tabs>
              <w:spacing w:after="0"/>
            </w:pPr>
            <w:r>
              <w:t>Czynniki zewnętrzne, takie jak zmiany przepisów, które mogą wpłynąć na organizację imprez.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23"/>
              </w:numPr>
              <w:tabs>
                <w:tab w:val="clear" w:pos="720"/>
                <w:tab w:val="left" w:pos="0"/>
              </w:tabs>
              <w:spacing w:after="0"/>
            </w:pPr>
            <w:r>
              <w:t>Problemy transportowe, które mogą utrudnić dojazd uczestnikom lub organizację wyd</w:t>
            </w:r>
            <w:r>
              <w:t>arzeń w różnych lokalizacjach.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24"/>
              </w:numPr>
              <w:tabs>
                <w:tab w:val="clear" w:pos="720"/>
                <w:tab w:val="left" w:pos="0"/>
              </w:tabs>
            </w:pPr>
            <w:r>
              <w:t>Trudności w zaproszeniu artystów z Ukrainy, związane z logistyką, formalnościami lub dostępnością podróży.</w:t>
            </w:r>
          </w:p>
        </w:tc>
      </w:tr>
      <w:tr w:rsidR="0051356D">
        <w:trPr>
          <w:trHeight w:val="420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Wskazówki / złote rady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1356D" w:rsidRDefault="0051356D">
            <w:pPr>
              <w:pStyle w:val="Tekstpodstawow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56D" w:rsidRDefault="00116D7A" w:rsidP="00116D7A">
            <w:pPr>
              <w:pStyle w:val="Tekstpodstawowy"/>
              <w:numPr>
                <w:ilvl w:val="0"/>
                <w:numId w:val="25"/>
              </w:numPr>
              <w:tabs>
                <w:tab w:val="clear" w:pos="707"/>
                <w:tab w:val="left" w:pos="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 naszego trzykrotnego doświadczenia w organizacji podobnych wydarzeń wynika, że element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partnerstwa między koordynatorami ma istotny wpływ na jakość realizowanych działań. Planowanie koncertu to bardzo duże obciążenie dla jednej organizacji, a podział obowiązków znacznie przyspiesza rozwiązywanie wszystkich kwestii. Ponadto, jeśli dedykujemy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święto dialogowi między kulturami, to dialog między organizatorami dodatkowo podkreśla tę ideę.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25"/>
              </w:numPr>
              <w:tabs>
                <w:tab w:val="clear" w:pos="707"/>
                <w:tab w:val="left" w:pos="0"/>
              </w:tabs>
              <w:spacing w:after="0"/>
            </w:pPr>
            <w:r>
              <w:t>Zaproszenie mediów, polityków oraz szanownych gości może zwiększyć widoczność wydarzenia, a także stworzyć nowe możliwości rozwoju organizacji i jej działań. Ob</w:t>
            </w:r>
            <w:r>
              <w:t>ecność takich osób daje szansę na prezentację działalności organizacji szerokiej publiczności oraz nawiązywanie cennych kontaktów.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25"/>
              </w:numPr>
              <w:tabs>
                <w:tab w:val="clear" w:pos="707"/>
                <w:tab w:val="left" w:pos="0"/>
              </w:tabs>
              <w:spacing w:after="0"/>
            </w:pPr>
            <w:r>
              <w:t>Podczas przemówień warto podziękować wolontariuszom, podkreślić ich wkład i zaangażowanie, a także zachęcić ich do dalszej dz</w:t>
            </w:r>
            <w:r>
              <w:t>iałalności. Jest to także świetna okazja, aby zmotywować nowe osoby do włączenia się w wolontariat.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25"/>
              </w:numPr>
              <w:tabs>
                <w:tab w:val="clear" w:pos="707"/>
                <w:tab w:val="left" w:pos="0"/>
              </w:tabs>
              <w:spacing w:after="0"/>
            </w:pPr>
            <w:r>
              <w:t>Współpraca z lokalnymi organizacjami i instytucjami kulturalnymi może pomóc w zdobyciu dodatkowego wsparcia oraz zasobów, takich jak sala czy materiały.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25"/>
              </w:numPr>
              <w:tabs>
                <w:tab w:val="clear" w:pos="707"/>
                <w:tab w:val="left" w:pos="0"/>
              </w:tabs>
              <w:spacing w:after="0"/>
            </w:pPr>
            <w:r>
              <w:t>Ang</w:t>
            </w:r>
            <w:r>
              <w:t>ażowanie lokalnych społeczności oraz beneficjentów w promocję wydarzeń może zwiększyć ich zasięg i frekwencję.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25"/>
              </w:numPr>
              <w:tabs>
                <w:tab w:val="clear" w:pos="707"/>
                <w:tab w:val="left" w:pos="0"/>
              </w:tabs>
              <w:spacing w:after="0"/>
            </w:pPr>
            <w:r>
              <w:t>Wybór artystów i tematyki wydarzeń powinien uwzględniać obecne potrzeby i zainteresowania uchodźców, aby jak najlepiej wesprzeć ich proces integr</w:t>
            </w:r>
            <w:r>
              <w:t>acji i zachowania tożsamości.</w:t>
            </w:r>
          </w:p>
          <w:p w:rsidR="0051356D" w:rsidRDefault="0051356D">
            <w:pPr>
              <w:pStyle w:val="Tekstpodstawowy"/>
            </w:pP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lastRenderedPageBreak/>
              <w:t>Po więcej informacji zgłoś się do: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Tetiana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Revenko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726306903</w:t>
            </w:r>
          </w:p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revenkotatiana091518@gmail.com</w:t>
            </w:r>
          </w:p>
        </w:tc>
      </w:tr>
    </w:tbl>
    <w:p w:rsidR="0051356D" w:rsidRDefault="0051356D"/>
    <w:p w:rsidR="0051356D" w:rsidRDefault="0051356D"/>
    <w:p w:rsidR="0051356D" w:rsidRDefault="0051356D"/>
    <w:p w:rsidR="0051356D" w:rsidRDefault="0051356D"/>
    <w:tbl>
      <w:tblPr>
        <w:tblW w:w="9026" w:type="dxa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2966"/>
        <w:gridCol w:w="6060"/>
      </w:tblGrid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lastRenderedPageBreak/>
              <w:t>Nazwa działania  3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czasu wolnego (w tym letnich aktywności) dla dzieci z rodzin uchodźczych</w:t>
            </w: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Cel działania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Zapewnienie dzieciom z rodzin uchodźczych bezpiecznej i kreatywnej przestrzeni do spędzania wolnego czasu, z naciskiem na rozwój społeczny, emocjonalny i intelektualny. Inicjatywa ma na celu integrację dzieci z rówieśnikami, rozwijanie ich umiejętności ora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umożliwienie im aktywnego wypoczynku, szczególnie w okresie letnim. Dodatkowym celem jest odciążenie kobiet, które często samotnie wychowują dzieci, pracują i jednocześnie próbują się zaadaptować w nowym środowisku.</w:t>
            </w: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Kontekst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związku z trudną sytuacją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uchodźców, szczególnie dzieci, które doświadczyły stresu i zmiany otoczenia, istnieje potrzeba stworzenia przestrzeni, w której będą mogły odzyskać poczucie bezpieczeństwa i normalności. Czas wolny, szczególnie w okresie wakacyjnym, często staje się wyzwan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iem dla rodziców, zwłaszcza dla samotnych matek, które muszą pogodzić pracę, opiekę nad dziećmi oraz własną adaptację w nowym kraju. Organizacja zajęć dla dzieci stanowi istotne wsparcie zarówno dla samych dzieci, jak i ich rodziców.</w:t>
            </w: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Czas: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Działania będą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realizowane cyklicznie przez cały rok, ze szczególnym naciskiem na okres letnich i zimowych wakacji. Regularne zajęcia będą odbywać się również w trakcie roku szkolnego, w zależności od potrzeb dzieci i ich rodzin.</w:t>
            </w: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Kluczowe osoby i ich obowiązki:</w:t>
            </w: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51356D">
            <w:pPr>
              <w:pStyle w:val="Tekstpodstawowy"/>
              <w:spacing w:after="0" w:line="240" w:lineRule="auto"/>
              <w:ind w:left="1080"/>
              <w:rPr>
                <w:rStyle w:val="a0"/>
                <w:rFonts w:ascii="Cambria" w:eastAsia="Cambria" w:hAnsi="Cambria" w:cs="Cambria"/>
                <w:color w:val="000000"/>
              </w:rPr>
            </w:pPr>
          </w:p>
          <w:p w:rsidR="0051356D" w:rsidRDefault="00116D7A" w:rsidP="00116D7A">
            <w:pPr>
              <w:pStyle w:val="Tekstpodstawowy"/>
              <w:numPr>
                <w:ilvl w:val="0"/>
                <w:numId w:val="26"/>
              </w:numPr>
              <w:tabs>
                <w:tab w:val="clear" w:pos="720"/>
                <w:tab w:val="left" w:pos="0"/>
              </w:tabs>
              <w:spacing w:after="0"/>
            </w:pPr>
            <w:r>
              <w:rPr>
                <w:rStyle w:val="a0"/>
              </w:rPr>
              <w:t>Koordy</w:t>
            </w:r>
            <w:r>
              <w:rPr>
                <w:rStyle w:val="a0"/>
              </w:rPr>
              <w:t xml:space="preserve">natorzy: </w:t>
            </w:r>
            <w:r>
              <w:rPr>
                <w:rStyle w:val="a0"/>
                <w:b w:val="0"/>
                <w:bCs w:val="0"/>
              </w:rPr>
              <w:t>Odpowiadają za organizację i harmonogram zajęć, kontakt z rodzicami oraz współpracę z wolontariuszami i instytucjami wspierającymi.</w:t>
            </w:r>
          </w:p>
          <w:p w:rsidR="0051356D" w:rsidRDefault="0051356D">
            <w:pPr>
              <w:pStyle w:val="Tekstpodstawowy"/>
              <w:spacing w:after="0"/>
              <w:ind w:left="720"/>
              <w:rPr>
                <w:rStyle w:val="a0"/>
              </w:rPr>
            </w:pPr>
          </w:p>
          <w:p w:rsidR="0051356D" w:rsidRDefault="00116D7A" w:rsidP="00116D7A">
            <w:pPr>
              <w:pStyle w:val="Tekstpodstawowy"/>
              <w:numPr>
                <w:ilvl w:val="0"/>
                <w:numId w:val="27"/>
              </w:numPr>
              <w:tabs>
                <w:tab w:val="clear" w:pos="720"/>
                <w:tab w:val="left" w:pos="0"/>
              </w:tabs>
              <w:spacing w:after="0"/>
            </w:pPr>
            <w:r>
              <w:rPr>
                <w:rStyle w:val="a0"/>
              </w:rPr>
              <w:t>Wolontariusze</w:t>
            </w:r>
            <w:r>
              <w:t xml:space="preserve">: Prowadzą zajęcia dla dzieci, wspierają organizację aktywności oraz pomagają w nadzorze nad </w:t>
            </w:r>
            <w:r>
              <w:t>uczestnikami.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28"/>
              </w:numPr>
              <w:tabs>
                <w:tab w:val="clear" w:pos="720"/>
                <w:tab w:val="left" w:pos="0"/>
              </w:tabs>
              <w:spacing w:after="0"/>
            </w:pPr>
            <w:r>
              <w:rPr>
                <w:rStyle w:val="a0"/>
              </w:rPr>
              <w:t>Animatorzy i nauczyciele</w:t>
            </w:r>
            <w:r>
              <w:t>: Odpowiadają za przygotowanie i prowadzenie warsztatów oraz zajęć edukacyjnych i artystycznych.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29"/>
              </w:numPr>
              <w:tabs>
                <w:tab w:val="clear" w:pos="720"/>
                <w:tab w:val="left" w:pos="0"/>
              </w:tabs>
            </w:pPr>
            <w:r>
              <w:rPr>
                <w:rStyle w:val="a0"/>
              </w:rPr>
              <w:t>Partnerzy instytucjonalni</w:t>
            </w:r>
            <w:r>
              <w:t>: Udostępniają przestrzeń do prowadzenia zajęć oraz oferują wsparcie logistyczne i materialne.</w:t>
            </w:r>
          </w:p>
          <w:p w:rsidR="0051356D" w:rsidRDefault="0051356D">
            <w:pPr>
              <w:pStyle w:val="Tekstpodstawowy"/>
              <w:ind w:left="720"/>
            </w:pP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lastRenderedPageBreak/>
              <w:t>Odbiorcy: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Dzieci i młodzież z rodzin uchodźczych w wieku od 7 do 13 lat, które potrzebują wsparcia w zakresie integracji, edukacji oraz możliwości spędzania wolnego czasu w bezpiecznym i twórczym środowisku. W okresie letnim inicjatywa obejmuje również mł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odsze dzieci w wieku 3-7 lat, gdyż zamknięcie przedszkoli na okres wakacyjny uniemożliwia matkom podjęcie pracy.</w:t>
            </w: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Potrzebujemy: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51356D">
            <w:pPr>
              <w:pStyle w:val="Tekstpodstawow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56D" w:rsidRDefault="00116D7A" w:rsidP="00116D7A">
            <w:pPr>
              <w:pStyle w:val="Tekstpodstawowy"/>
              <w:numPr>
                <w:ilvl w:val="0"/>
                <w:numId w:val="30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Zasobów finansowych na wynagrodzenie animatorów, nauczycieli oraz pokrycie kosztów organizacyjnych zajęć.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30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Wolontariuszy do </w:t>
            </w:r>
            <w:r>
              <w:t>pomocy w prowadzeniu zajęć i opiece nad dziećmi.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31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Materiałów edukacyjnych, artystycznych oraz sprzętu sportowego do prowadzenia zajęć.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32"/>
              </w:numPr>
              <w:tabs>
                <w:tab w:val="clear" w:pos="720"/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Przestrzeni do organizacji zajęć (np. sala, boisko, plac zabaw).</w:t>
            </w: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Narzędzia i materiały: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51356D">
            <w:pPr>
              <w:pStyle w:val="Tekstpodstawow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56D" w:rsidRDefault="00116D7A" w:rsidP="00116D7A">
            <w:pPr>
              <w:pStyle w:val="Tekstpodstawowy"/>
              <w:numPr>
                <w:ilvl w:val="0"/>
                <w:numId w:val="33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Zabawki, materiały plastyczne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artystyczne do zajęć dla młodszych dzieci (3-6 lat).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33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Materiały edukacyjne i kreatywne do warsztatów dla starszych dzieci (6-16 lat).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34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Sprzęt sportowy, piłki, skakanki, zestawy do gier zespołowych.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35"/>
              </w:numPr>
              <w:tabs>
                <w:tab w:val="clear" w:pos="720"/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Pomieszczenia lub przestrzeń na świeżym powietrzu do </w:t>
            </w:r>
            <w:r>
              <w:t>organizacji zajęć.</w:t>
            </w:r>
          </w:p>
        </w:tc>
      </w:tr>
      <w:tr w:rsidR="0051356D">
        <w:trPr>
          <w:trHeight w:val="420"/>
        </w:trPr>
        <w:tc>
          <w:tcPr>
            <w:tcW w:w="2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Przebieg działania</w:t>
            </w: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Etap 1</w:t>
            </w:r>
          </w:p>
          <w:p w:rsidR="0051356D" w:rsidRDefault="0051356D">
            <w:pPr>
              <w:pStyle w:val="Tekstpodstawow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56D" w:rsidRDefault="00116D7A" w:rsidP="00116D7A">
            <w:pPr>
              <w:pStyle w:val="Tekstpodstawowy"/>
              <w:numPr>
                <w:ilvl w:val="0"/>
                <w:numId w:val="36"/>
              </w:numPr>
              <w:tabs>
                <w:tab w:val="clear" w:pos="707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Przygotowanie harmonogramu zajęć, rekrutacja wolontariuszy oraz nauczycieli/animatorów.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36"/>
              </w:numPr>
              <w:tabs>
                <w:tab w:val="clear" w:pos="707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Zorganizowanie przestrzeni i przygotowanie materiałów do zajęć dla dzieci.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36"/>
              </w:numPr>
              <w:tabs>
                <w:tab w:val="clear" w:pos="707"/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Promocja inicjatywy wśród społeczności </w:t>
            </w:r>
            <w:r>
              <w:t>uchodźców, kontakt z rodzicami.</w:t>
            </w:r>
          </w:p>
          <w:p w:rsidR="0051356D" w:rsidRDefault="0051356D">
            <w:pPr>
              <w:pStyle w:val="Tekstpodstawowy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56D">
        <w:trPr>
          <w:trHeight w:val="420"/>
        </w:trPr>
        <w:tc>
          <w:tcPr>
            <w:tcW w:w="2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51356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Etap  2</w:t>
            </w:r>
          </w:p>
          <w:p w:rsidR="0051356D" w:rsidRDefault="0051356D">
            <w:pPr>
              <w:pStyle w:val="Tekstpodstawow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56D" w:rsidRDefault="00116D7A" w:rsidP="00116D7A">
            <w:pPr>
              <w:pStyle w:val="Tekstpodstawowy"/>
              <w:numPr>
                <w:ilvl w:val="0"/>
                <w:numId w:val="37"/>
              </w:numPr>
              <w:tabs>
                <w:tab w:val="clear" w:pos="707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Prowadzenie zajęć dla dzieci – warsztaty kreatywne, zajęcia sportowe, edukacyjne i integracyjne.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37"/>
              </w:numPr>
              <w:tabs>
                <w:tab w:val="clear" w:pos="707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Opieka nad młodszymi dziećmi (3-6 lat) podczas zajęć, aby umożliwić ich rodzicom kontynuację pracy.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37"/>
              </w:numPr>
              <w:tabs>
                <w:tab w:val="clear" w:pos="707"/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Stałe </w:t>
            </w:r>
            <w:r>
              <w:t>monitorowanie potrzeb dzieci i rodziców, elastyczne dostosowanie zajęć do ich wymagań.</w:t>
            </w:r>
          </w:p>
          <w:p w:rsidR="0051356D" w:rsidRDefault="0051356D">
            <w:pPr>
              <w:pStyle w:val="Tekstpodstawowy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56D">
        <w:trPr>
          <w:trHeight w:val="420"/>
        </w:trPr>
        <w:tc>
          <w:tcPr>
            <w:tcW w:w="2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51356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Etap 3 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38"/>
              </w:numPr>
              <w:tabs>
                <w:tab w:val="clear" w:pos="707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Zbieranie informacji zwrotnej od rodziców i dzieci, ocena rezultatów inicjatywy.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38"/>
              </w:numPr>
              <w:tabs>
                <w:tab w:val="clear" w:pos="707"/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Planowanie kolejnych działań na podstawie zdobytych doświadczeń, ulepszanie </w:t>
            </w:r>
            <w:r>
              <w:t>programu.</w:t>
            </w:r>
          </w:p>
          <w:p w:rsidR="0051356D" w:rsidRDefault="0051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56D">
        <w:trPr>
          <w:trHeight w:val="2735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Ryzyka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51356D">
            <w:pPr>
              <w:pStyle w:val="Tekstpodstawowy"/>
              <w:spacing w:after="0" w:line="240" w:lineRule="auto"/>
              <w:ind w:left="1080"/>
              <w:rPr>
                <w:rFonts w:ascii="Cambria" w:eastAsia="Cambria" w:hAnsi="Cambria" w:cs="Cambria"/>
                <w:color w:val="000000"/>
              </w:rPr>
            </w:pPr>
          </w:p>
          <w:p w:rsidR="0051356D" w:rsidRDefault="00116D7A" w:rsidP="00116D7A">
            <w:pPr>
              <w:pStyle w:val="Tekstpodstawowy"/>
              <w:numPr>
                <w:ilvl w:val="0"/>
                <w:numId w:val="39"/>
              </w:numPr>
              <w:tabs>
                <w:tab w:val="clear" w:pos="720"/>
                <w:tab w:val="left" w:pos="0"/>
              </w:tabs>
              <w:spacing w:after="0"/>
            </w:pPr>
            <w:r>
              <w:rPr>
                <w:rFonts w:ascii="Cambria" w:eastAsia="Cambria" w:hAnsi="Cambria" w:cs="Cambria"/>
                <w:color w:val="000000"/>
              </w:rPr>
              <w:t>Brak wystarczających środków finansowych na wynagrodzenie animatorów i pokrycie kosztów organizacyjnych.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39"/>
              </w:numPr>
              <w:tabs>
                <w:tab w:val="clear" w:pos="720"/>
                <w:tab w:val="left" w:pos="0"/>
              </w:tabs>
              <w:spacing w:after="0"/>
            </w:pPr>
            <w:r>
              <w:t>Niewystarczająca liczba wolontariuszy do pomocy w organizacji i prowadzeniu zajęć.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40"/>
              </w:numPr>
              <w:tabs>
                <w:tab w:val="clear" w:pos="720"/>
                <w:tab w:val="left" w:pos="0"/>
              </w:tabs>
              <w:spacing w:after="0"/>
            </w:pPr>
            <w:r>
              <w:t>Trudności z dostępem do odpowiednich przestrzeni</w:t>
            </w:r>
            <w:r>
              <w:t xml:space="preserve"> do prowadzenia zajęć (zamknięte placówki w okresie wakacyjnym).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41"/>
              </w:numPr>
              <w:tabs>
                <w:tab w:val="clear" w:pos="720"/>
                <w:tab w:val="left" w:pos="0"/>
              </w:tabs>
            </w:pPr>
            <w:r>
              <w:t>Czynniki zewnętrzne, takie jak ograniczenia związane z pandemią lub innymi wydarzeniami losowymi, które mogą wpłynąć na realizację inicjatywy.</w:t>
            </w:r>
          </w:p>
        </w:tc>
      </w:tr>
      <w:tr w:rsidR="0051356D">
        <w:trPr>
          <w:trHeight w:val="420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Wskazówki / złote rady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51356D">
            <w:pPr>
              <w:pStyle w:val="Tekstpodstawow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56D" w:rsidRDefault="00116D7A" w:rsidP="00116D7A">
            <w:pPr>
              <w:pStyle w:val="Tekstpodstawowy"/>
              <w:numPr>
                <w:ilvl w:val="0"/>
                <w:numId w:val="42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Współpraca z lokalnymi </w:t>
            </w:r>
            <w:r>
              <w:t>instytucjami, które mogą udostępnić przestrzeń lub wsparcie materialne, znacząco ułatwia realizację działań.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43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Ważne jest zapewnienie elastyczności w harmonogramie, aby dostosować zajęcia do zmieniających się potrzeb dzieci i rodziców.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44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Niezwykle ważne jest </w:t>
            </w:r>
            <w:r>
              <w:t>wcześniejsze przemyślenie programu i zadbanie o to, by każdego dnia dzieci miały okazję do wyjścia na miasto oraz interesujących przygód. Warto zaplanować również nietypowy obiad, taki jak piknik lub dzień z lodami.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45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Angażowanie wolontariuszy, szczególnie t</w:t>
            </w:r>
            <w:r>
              <w:t>ych, którzy mają doświadczenie w pracy z dziećmi, jest kluczowe dla zapewnienia jakości zajęć.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46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Organizowanie specjalnych wydarzeń (np. dni sportu, dni twórczości) pomaga zwiększyć zainteresowanie i zaangażowanie dzieci oraz rodziców.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47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Wprowadzenie systemu p</w:t>
            </w:r>
            <w:r>
              <w:t>unktów za dobrą postawę i zamienianie ich na nagrody na zakończenie inicjatywy. Warto nagrodzić uczestników drobnymi upominkami, co zwiększa motywację i poczucie osiągnięcia.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48"/>
              </w:numPr>
              <w:tabs>
                <w:tab w:val="clear" w:pos="72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Unikanie nadmiernego obciążenia dzieci zadaniami – ważne jest, aby aktywności był</w:t>
            </w:r>
            <w:r>
              <w:t>y zrównoważone i dostosowane do ich możliwości.</w:t>
            </w:r>
          </w:p>
          <w:p w:rsidR="0051356D" w:rsidRDefault="00116D7A" w:rsidP="00116D7A">
            <w:pPr>
              <w:pStyle w:val="Tekstpodstawowy"/>
              <w:numPr>
                <w:ilvl w:val="0"/>
                <w:numId w:val="49"/>
              </w:numPr>
              <w:tabs>
                <w:tab w:val="clear" w:pos="720"/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Udzielanie wsparcia psychologicznego dzieciom, które mogą przeżywać trudności związane z nowym otoczeniem i doświadczeniami wojennymi.</w:t>
            </w:r>
          </w:p>
        </w:tc>
      </w:tr>
      <w:tr w:rsidR="0051356D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lastRenderedPageBreak/>
              <w:t>Po więcej informacji zgłoś się do: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Tetiana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Revenko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726306903</w:t>
            </w:r>
          </w:p>
          <w:p w:rsidR="0051356D" w:rsidRDefault="0011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revenkotatiana091518@gmail.com</w:t>
            </w:r>
          </w:p>
        </w:tc>
      </w:tr>
    </w:tbl>
    <w:p w:rsidR="0051356D" w:rsidRDefault="0051356D"/>
    <w:sectPr w:rsidR="00513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7A" w:rsidRDefault="00116D7A" w:rsidP="00D74C43">
      <w:pPr>
        <w:spacing w:after="0" w:line="240" w:lineRule="auto"/>
      </w:pPr>
      <w:r>
        <w:separator/>
      </w:r>
    </w:p>
  </w:endnote>
  <w:endnote w:type="continuationSeparator" w:id="0">
    <w:p w:rsidR="00116D7A" w:rsidRDefault="00116D7A" w:rsidP="00D7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43" w:rsidRDefault="00D74C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43" w:rsidRDefault="00D74C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43" w:rsidRDefault="00D74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7A" w:rsidRDefault="00116D7A" w:rsidP="00D74C43">
      <w:pPr>
        <w:spacing w:after="0" w:line="240" w:lineRule="auto"/>
      </w:pPr>
      <w:r>
        <w:separator/>
      </w:r>
    </w:p>
  </w:footnote>
  <w:footnote w:type="continuationSeparator" w:id="0">
    <w:p w:rsidR="00116D7A" w:rsidRDefault="00116D7A" w:rsidP="00D74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43" w:rsidRDefault="00D74C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43" w:rsidRDefault="00D74C43">
    <w:pPr>
      <w:pStyle w:val="Nagwek"/>
    </w:pPr>
    <w:bookmarkStart w:id="0" w:name="_GoBack"/>
    <w:r>
      <w:rPr>
        <w:noProof/>
        <w:lang w:eastAsia="pl-PL" w:bidi="ar-SA"/>
      </w:rPr>
      <w:drawing>
        <wp:inline distT="0" distB="0" distL="0" distR="0">
          <wp:extent cx="5760720" cy="655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43" w:rsidRDefault="00D74C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7F1B"/>
    <w:multiLevelType w:val="multilevel"/>
    <w:tmpl w:val="FB42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112410"/>
    <w:multiLevelType w:val="multilevel"/>
    <w:tmpl w:val="5C66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F15991"/>
    <w:multiLevelType w:val="multilevel"/>
    <w:tmpl w:val="93AC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014623"/>
    <w:multiLevelType w:val="multilevel"/>
    <w:tmpl w:val="E534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DF1D58"/>
    <w:multiLevelType w:val="multilevel"/>
    <w:tmpl w:val="D24A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41186C"/>
    <w:multiLevelType w:val="multilevel"/>
    <w:tmpl w:val="1E14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5428CA"/>
    <w:multiLevelType w:val="multilevel"/>
    <w:tmpl w:val="F00E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A6B38BB"/>
    <w:multiLevelType w:val="multilevel"/>
    <w:tmpl w:val="4FBE9E4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B5F3BF0"/>
    <w:multiLevelType w:val="multilevel"/>
    <w:tmpl w:val="2C40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0C8542F"/>
    <w:multiLevelType w:val="multilevel"/>
    <w:tmpl w:val="B9AA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1840D8D"/>
    <w:multiLevelType w:val="multilevel"/>
    <w:tmpl w:val="12C2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97B1A24"/>
    <w:multiLevelType w:val="multilevel"/>
    <w:tmpl w:val="147C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B0E6548"/>
    <w:multiLevelType w:val="multilevel"/>
    <w:tmpl w:val="7D64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B482872"/>
    <w:multiLevelType w:val="multilevel"/>
    <w:tmpl w:val="9E8A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D776CDE"/>
    <w:multiLevelType w:val="multilevel"/>
    <w:tmpl w:val="8B52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ED316BC"/>
    <w:multiLevelType w:val="multilevel"/>
    <w:tmpl w:val="A9A80CE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2F0E6EFB"/>
    <w:multiLevelType w:val="multilevel"/>
    <w:tmpl w:val="AEFED1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0026EA8"/>
    <w:multiLevelType w:val="multilevel"/>
    <w:tmpl w:val="00D2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114019D"/>
    <w:multiLevelType w:val="multilevel"/>
    <w:tmpl w:val="30AC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20F16D3"/>
    <w:multiLevelType w:val="multilevel"/>
    <w:tmpl w:val="95FE957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35901A8D"/>
    <w:multiLevelType w:val="multilevel"/>
    <w:tmpl w:val="782458F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1" w15:restartNumberingAfterBreak="0">
    <w:nsid w:val="3BC649DD"/>
    <w:multiLevelType w:val="multilevel"/>
    <w:tmpl w:val="CF9E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D1478E3"/>
    <w:multiLevelType w:val="multilevel"/>
    <w:tmpl w:val="FA82170A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3E586DEC"/>
    <w:multiLevelType w:val="multilevel"/>
    <w:tmpl w:val="7336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EBD13D2"/>
    <w:multiLevelType w:val="multilevel"/>
    <w:tmpl w:val="4B94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FA613A7"/>
    <w:multiLevelType w:val="multilevel"/>
    <w:tmpl w:val="3EDA9FC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43153499"/>
    <w:multiLevelType w:val="multilevel"/>
    <w:tmpl w:val="0D2A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5FF7863"/>
    <w:multiLevelType w:val="multilevel"/>
    <w:tmpl w:val="A3F6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78330BA"/>
    <w:multiLevelType w:val="multilevel"/>
    <w:tmpl w:val="1242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F110679"/>
    <w:multiLevelType w:val="multilevel"/>
    <w:tmpl w:val="F0CE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0BF718E"/>
    <w:multiLevelType w:val="multilevel"/>
    <w:tmpl w:val="41B2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18D455C"/>
    <w:multiLevelType w:val="multilevel"/>
    <w:tmpl w:val="48E8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27E65D7"/>
    <w:multiLevelType w:val="multilevel"/>
    <w:tmpl w:val="706C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27E769F"/>
    <w:multiLevelType w:val="multilevel"/>
    <w:tmpl w:val="2A488B8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4" w15:restartNumberingAfterBreak="0">
    <w:nsid w:val="52ED1415"/>
    <w:multiLevelType w:val="multilevel"/>
    <w:tmpl w:val="48DE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A5002B3"/>
    <w:multiLevelType w:val="multilevel"/>
    <w:tmpl w:val="710C6DC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6" w15:restartNumberingAfterBreak="0">
    <w:nsid w:val="5D38768E"/>
    <w:multiLevelType w:val="multilevel"/>
    <w:tmpl w:val="0576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E7E500D"/>
    <w:multiLevelType w:val="multilevel"/>
    <w:tmpl w:val="B1EE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0C82A2D"/>
    <w:multiLevelType w:val="multilevel"/>
    <w:tmpl w:val="57FE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1E013B6"/>
    <w:multiLevelType w:val="multilevel"/>
    <w:tmpl w:val="A10E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27C6E28"/>
    <w:multiLevelType w:val="multilevel"/>
    <w:tmpl w:val="89202BB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1" w15:restartNumberingAfterBreak="0">
    <w:nsid w:val="62A64FA0"/>
    <w:multiLevelType w:val="multilevel"/>
    <w:tmpl w:val="E416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C4A1A7B"/>
    <w:multiLevelType w:val="multilevel"/>
    <w:tmpl w:val="4B48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ECA18AC"/>
    <w:multiLevelType w:val="multilevel"/>
    <w:tmpl w:val="4886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33B73E8"/>
    <w:multiLevelType w:val="multilevel"/>
    <w:tmpl w:val="B302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59A5577"/>
    <w:multiLevelType w:val="multilevel"/>
    <w:tmpl w:val="0200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66D1632"/>
    <w:multiLevelType w:val="multilevel"/>
    <w:tmpl w:val="6EAA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9B913A6"/>
    <w:multiLevelType w:val="multilevel"/>
    <w:tmpl w:val="0B6A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D4D3BCD"/>
    <w:multiLevelType w:val="multilevel"/>
    <w:tmpl w:val="EBFC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7"/>
  </w:num>
  <w:num w:numId="5">
    <w:abstractNumId w:val="15"/>
  </w:num>
  <w:num w:numId="6">
    <w:abstractNumId w:val="25"/>
  </w:num>
  <w:num w:numId="7">
    <w:abstractNumId w:val="1"/>
  </w:num>
  <w:num w:numId="8">
    <w:abstractNumId w:val="18"/>
  </w:num>
  <w:num w:numId="9">
    <w:abstractNumId w:val="38"/>
  </w:num>
  <w:num w:numId="10">
    <w:abstractNumId w:val="4"/>
  </w:num>
  <w:num w:numId="11">
    <w:abstractNumId w:val="29"/>
  </w:num>
  <w:num w:numId="12">
    <w:abstractNumId w:val="47"/>
  </w:num>
  <w:num w:numId="13">
    <w:abstractNumId w:val="9"/>
  </w:num>
  <w:num w:numId="14">
    <w:abstractNumId w:val="17"/>
  </w:num>
  <w:num w:numId="15">
    <w:abstractNumId w:val="24"/>
  </w:num>
  <w:num w:numId="16">
    <w:abstractNumId w:val="30"/>
  </w:num>
  <w:num w:numId="17">
    <w:abstractNumId w:val="46"/>
  </w:num>
  <w:num w:numId="18">
    <w:abstractNumId w:val="2"/>
  </w:num>
  <w:num w:numId="19">
    <w:abstractNumId w:val="37"/>
  </w:num>
  <w:num w:numId="20">
    <w:abstractNumId w:val="12"/>
  </w:num>
  <w:num w:numId="21">
    <w:abstractNumId w:val="6"/>
  </w:num>
  <w:num w:numId="22">
    <w:abstractNumId w:val="28"/>
  </w:num>
  <w:num w:numId="23">
    <w:abstractNumId w:val="26"/>
  </w:num>
  <w:num w:numId="24">
    <w:abstractNumId w:val="0"/>
  </w:num>
  <w:num w:numId="25">
    <w:abstractNumId w:val="33"/>
  </w:num>
  <w:num w:numId="26">
    <w:abstractNumId w:val="45"/>
  </w:num>
  <w:num w:numId="27">
    <w:abstractNumId w:val="32"/>
  </w:num>
  <w:num w:numId="28">
    <w:abstractNumId w:val="31"/>
  </w:num>
  <w:num w:numId="29">
    <w:abstractNumId w:val="13"/>
  </w:num>
  <w:num w:numId="30">
    <w:abstractNumId w:val="36"/>
  </w:num>
  <w:num w:numId="31">
    <w:abstractNumId w:val="39"/>
  </w:num>
  <w:num w:numId="32">
    <w:abstractNumId w:val="43"/>
  </w:num>
  <w:num w:numId="33">
    <w:abstractNumId w:val="48"/>
  </w:num>
  <w:num w:numId="34">
    <w:abstractNumId w:val="8"/>
  </w:num>
  <w:num w:numId="35">
    <w:abstractNumId w:val="21"/>
  </w:num>
  <w:num w:numId="36">
    <w:abstractNumId w:val="35"/>
  </w:num>
  <w:num w:numId="37">
    <w:abstractNumId w:val="40"/>
  </w:num>
  <w:num w:numId="38">
    <w:abstractNumId w:val="20"/>
  </w:num>
  <w:num w:numId="39">
    <w:abstractNumId w:val="41"/>
  </w:num>
  <w:num w:numId="40">
    <w:abstractNumId w:val="14"/>
  </w:num>
  <w:num w:numId="41">
    <w:abstractNumId w:val="23"/>
  </w:num>
  <w:num w:numId="42">
    <w:abstractNumId w:val="44"/>
  </w:num>
  <w:num w:numId="43">
    <w:abstractNumId w:val="42"/>
  </w:num>
  <w:num w:numId="44">
    <w:abstractNumId w:val="3"/>
  </w:num>
  <w:num w:numId="45">
    <w:abstractNumId w:val="27"/>
  </w:num>
  <w:num w:numId="46">
    <w:abstractNumId w:val="5"/>
  </w:num>
  <w:num w:numId="47">
    <w:abstractNumId w:val="11"/>
  </w:num>
  <w:num w:numId="48">
    <w:abstractNumId w:val="10"/>
  </w:num>
  <w:num w:numId="49">
    <w:abstractNumId w:val="3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6D"/>
    <w:rsid w:val="00116D7A"/>
    <w:rsid w:val="0051356D"/>
    <w:rsid w:val="00D7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E1207F"/>
  <w15:docId w15:val="{BB465FEE-D567-41B1-A3D7-B041CADA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">
    <w:name w:val="Маркери списку"/>
    <w:qFormat/>
    <w:rPr>
      <w:rFonts w:ascii="OpenSymbol" w:eastAsia="OpenSymbol" w:hAnsi="OpenSymbol" w:cs="OpenSymbol"/>
    </w:rPr>
  </w:style>
  <w:style w:type="character" w:customStyle="1" w:styleId="a0">
    <w:name w:val="Виділення жирним"/>
    <w:qFormat/>
    <w:rPr>
      <w:b/>
      <w:bCs/>
    </w:rPr>
  </w:style>
  <w:style w:type="paragraph" w:customStyle="1" w:styleId="a1">
    <w:name w:val="Заголовок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2">
    <w:name w:val="Покажчик"/>
    <w:basedOn w:val="Normalny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Podtytu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3">
    <w:name w:val="Вміст таблиці"/>
    <w:basedOn w:val="Normalny"/>
    <w:qFormat/>
    <w:pPr>
      <w:suppressLineNumbers/>
    </w:pPr>
  </w:style>
  <w:style w:type="paragraph" w:customStyle="1" w:styleId="a4">
    <w:name w:val="Заголовок таблиці"/>
    <w:basedOn w:val="a3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4C43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4C43"/>
    <w:rPr>
      <w:rFonts w:cs="Mang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4C43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74C43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zy1I0K/laLqpmEK39XrrDRSyRw==">CgMxLjA4AHIhMXZyUmdsdjNhVWJPVDU5Yk9TVFhGX1hBalRxRDFEcTBw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2658</Words>
  <Characters>15951</Characters>
  <Application>Microsoft Office Word</Application>
  <DocSecurity>0</DocSecurity>
  <Lines>132</Lines>
  <Paragraphs>37</Paragraphs>
  <ScaleCrop>false</ScaleCrop>
  <Company/>
  <LinksUpToDate>false</LinksUpToDate>
  <CharactersWithSpaces>18572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FOSA_WDA_04</dc:creator>
  <dc:description/>
  <cp:lastModifiedBy>FOSA_WDA_04</cp:lastModifiedBy>
  <cp:revision>2</cp:revision>
  <dcterms:created xsi:type="dcterms:W3CDTF">2024-07-24T07:10:00Z</dcterms:created>
  <dcterms:modified xsi:type="dcterms:W3CDTF">2024-10-09T06:24:00Z</dcterms:modified>
  <dc:language>uk-UA</dc:language>
</cp:coreProperties>
</file>